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848" w:rsidRPr="004B0848" w:rsidRDefault="004B0848" w:rsidP="004B0848">
      <w:pPr>
        <w:jc w:val="center"/>
        <w:rPr>
          <w:b/>
          <w:sz w:val="28"/>
        </w:rPr>
      </w:pPr>
      <w:r w:rsidRPr="004B0848">
        <w:rPr>
          <w:b/>
          <w:sz w:val="28"/>
        </w:rPr>
        <w:t xml:space="preserve">Quick Reference – </w:t>
      </w:r>
      <w:r>
        <w:rPr>
          <w:b/>
          <w:sz w:val="28"/>
        </w:rPr>
        <w:t>Issuance of LOC</w:t>
      </w:r>
      <w:r w:rsidR="0011409E">
        <w:rPr>
          <w:b/>
          <w:sz w:val="28"/>
        </w:rPr>
        <w:t xml:space="preserve"> for ASAPs</w:t>
      </w:r>
    </w:p>
    <w:p w:rsidR="004B0848" w:rsidRPr="004B0848" w:rsidRDefault="004B0848">
      <w:pPr>
        <w:rPr>
          <w:b/>
          <w:sz w:val="28"/>
          <w:u w:val="single"/>
        </w:rPr>
      </w:pPr>
      <w:r w:rsidRPr="004B0848">
        <w:rPr>
          <w:b/>
          <w:sz w:val="28"/>
          <w:u w:val="single"/>
        </w:rPr>
        <w:t>Exempted Hospital Discharge</w:t>
      </w:r>
      <w:r>
        <w:rPr>
          <w:b/>
          <w:sz w:val="28"/>
          <w:u w:val="single"/>
        </w:rPr>
        <w:t xml:space="preserve"> (EHD):</w:t>
      </w:r>
    </w:p>
    <w:p w:rsidR="004B0848" w:rsidRPr="004B0848" w:rsidRDefault="004B0848">
      <w:pPr>
        <w:rPr>
          <w:b/>
          <w:color w:val="0070C0"/>
          <w:sz w:val="24"/>
          <w:szCs w:val="24"/>
        </w:rPr>
      </w:pPr>
      <w:r w:rsidRPr="004B0848">
        <w:rPr>
          <w:b/>
          <w:color w:val="0070C0"/>
          <w:sz w:val="24"/>
          <w:szCs w:val="24"/>
        </w:rPr>
        <w:t xml:space="preserve">+ID/DD </w:t>
      </w:r>
      <w:r w:rsidRPr="004B0848">
        <w:rPr>
          <w:sz w:val="24"/>
          <w:szCs w:val="24"/>
        </w:rPr>
        <w:t xml:space="preserve">and </w:t>
      </w:r>
      <w:r w:rsidRPr="004B0848">
        <w:rPr>
          <w:b/>
          <w:color w:val="00B050"/>
          <w:sz w:val="24"/>
          <w:szCs w:val="24"/>
        </w:rPr>
        <w:t>+SMI</w:t>
      </w:r>
      <w:r w:rsidRPr="004B0848">
        <w:rPr>
          <w:color w:val="0070C0"/>
          <w:sz w:val="24"/>
          <w:szCs w:val="24"/>
        </w:rPr>
        <w:t xml:space="preserve"> </w:t>
      </w:r>
      <w:r w:rsidRPr="004B0848">
        <w:rPr>
          <w:sz w:val="24"/>
          <w:szCs w:val="24"/>
        </w:rPr>
        <w:t xml:space="preserve">+ </w:t>
      </w:r>
      <w:r w:rsidRPr="004B0848">
        <w:rPr>
          <w:b/>
          <w:color w:val="00B0F0"/>
          <w:sz w:val="24"/>
          <w:szCs w:val="24"/>
        </w:rPr>
        <w:t>EHD</w:t>
      </w:r>
      <w:r w:rsidRPr="004B0848">
        <w:rPr>
          <w:sz w:val="24"/>
          <w:szCs w:val="24"/>
        </w:rPr>
        <w:t xml:space="preserve"> =&gt; LOC end date must not exceed time limit of EHD</w:t>
      </w:r>
      <w:r w:rsidR="008C7D51">
        <w:rPr>
          <w:sz w:val="24"/>
          <w:szCs w:val="24"/>
        </w:rPr>
        <w:t>*</w:t>
      </w:r>
    </w:p>
    <w:p w:rsidR="006E20E0" w:rsidRPr="004B0848" w:rsidRDefault="002C65FC">
      <w:pPr>
        <w:rPr>
          <w:sz w:val="24"/>
          <w:szCs w:val="24"/>
        </w:rPr>
      </w:pPr>
      <w:r w:rsidRPr="004B0848">
        <w:rPr>
          <w:b/>
          <w:color w:val="0070C0"/>
          <w:sz w:val="24"/>
          <w:szCs w:val="24"/>
        </w:rPr>
        <w:t>+</w:t>
      </w:r>
      <w:r w:rsidR="006E20E0" w:rsidRPr="004B0848">
        <w:rPr>
          <w:b/>
          <w:color w:val="0070C0"/>
          <w:sz w:val="24"/>
          <w:szCs w:val="24"/>
        </w:rPr>
        <w:t>ID/DD</w:t>
      </w:r>
      <w:r w:rsidR="006E20E0" w:rsidRPr="004B0848">
        <w:rPr>
          <w:color w:val="0070C0"/>
          <w:sz w:val="24"/>
          <w:szCs w:val="24"/>
        </w:rPr>
        <w:t xml:space="preserve"> </w:t>
      </w:r>
      <w:r w:rsidR="006E20E0" w:rsidRPr="004B0848">
        <w:rPr>
          <w:sz w:val="24"/>
          <w:szCs w:val="24"/>
        </w:rPr>
        <w:t xml:space="preserve">+ </w:t>
      </w:r>
      <w:r w:rsidR="006E20E0" w:rsidRPr="004B0848">
        <w:rPr>
          <w:b/>
          <w:color w:val="00B0F0"/>
          <w:sz w:val="24"/>
          <w:szCs w:val="24"/>
        </w:rPr>
        <w:t>EHD</w:t>
      </w:r>
      <w:r w:rsidR="006E20E0" w:rsidRPr="004B0848">
        <w:rPr>
          <w:sz w:val="24"/>
          <w:szCs w:val="24"/>
        </w:rPr>
        <w:t xml:space="preserve"> =&gt; LOC end date must </w:t>
      </w:r>
      <w:r w:rsidR="004B0848" w:rsidRPr="004B0848">
        <w:rPr>
          <w:sz w:val="24"/>
          <w:szCs w:val="24"/>
        </w:rPr>
        <w:t>not exceed time limit of EHD</w:t>
      </w:r>
      <w:r w:rsidR="008C7D51">
        <w:rPr>
          <w:sz w:val="24"/>
          <w:szCs w:val="24"/>
        </w:rPr>
        <w:t>*</w:t>
      </w:r>
    </w:p>
    <w:p w:rsidR="004B0848" w:rsidRPr="004B0848" w:rsidRDefault="004B0848">
      <w:pPr>
        <w:rPr>
          <w:sz w:val="24"/>
          <w:szCs w:val="24"/>
        </w:rPr>
      </w:pPr>
      <w:r w:rsidRPr="004B0848">
        <w:rPr>
          <w:b/>
          <w:color w:val="00B050"/>
          <w:sz w:val="24"/>
          <w:szCs w:val="24"/>
        </w:rPr>
        <w:t>+SMI</w:t>
      </w:r>
      <w:r w:rsidRPr="004B0848">
        <w:rPr>
          <w:color w:val="00B050"/>
          <w:sz w:val="24"/>
          <w:szCs w:val="24"/>
        </w:rPr>
        <w:t xml:space="preserve"> </w:t>
      </w:r>
      <w:r w:rsidRPr="004B0848">
        <w:rPr>
          <w:sz w:val="24"/>
          <w:szCs w:val="24"/>
        </w:rPr>
        <w:t xml:space="preserve">+ </w:t>
      </w:r>
      <w:r w:rsidRPr="004B0848">
        <w:rPr>
          <w:b/>
          <w:color w:val="00B0F0"/>
          <w:sz w:val="24"/>
          <w:szCs w:val="24"/>
        </w:rPr>
        <w:t>EHD</w:t>
      </w:r>
      <w:r w:rsidRPr="004B0848">
        <w:rPr>
          <w:sz w:val="24"/>
          <w:szCs w:val="24"/>
        </w:rPr>
        <w:t xml:space="preserve"> =&gt; LOC end date must not exceed time limit of EHD</w:t>
      </w:r>
      <w:r w:rsidR="008C7D51">
        <w:rPr>
          <w:sz w:val="24"/>
          <w:szCs w:val="24"/>
        </w:rPr>
        <w:t>*</w:t>
      </w:r>
    </w:p>
    <w:p w:rsidR="004B0848" w:rsidRPr="004B0848" w:rsidRDefault="004B0848">
      <w:pPr>
        <w:rPr>
          <w:b/>
          <w:sz w:val="28"/>
          <w:u w:val="single"/>
        </w:rPr>
      </w:pPr>
      <w:r w:rsidRPr="004B0848">
        <w:rPr>
          <w:b/>
          <w:sz w:val="28"/>
          <w:u w:val="single"/>
        </w:rPr>
        <w:t>Advanced Dementia Exclusion (ADE):</w:t>
      </w:r>
    </w:p>
    <w:p w:rsidR="006E20E0" w:rsidRDefault="002C65FC">
      <w:pPr>
        <w:rPr>
          <w:sz w:val="24"/>
          <w:szCs w:val="24"/>
        </w:rPr>
      </w:pPr>
      <w:r w:rsidRPr="004B0848">
        <w:rPr>
          <w:b/>
          <w:color w:val="00B050"/>
          <w:sz w:val="24"/>
          <w:szCs w:val="24"/>
        </w:rPr>
        <w:t>+</w:t>
      </w:r>
      <w:r w:rsidR="006E20E0" w:rsidRPr="004B0848">
        <w:rPr>
          <w:b/>
          <w:color w:val="00B050"/>
          <w:sz w:val="24"/>
          <w:szCs w:val="24"/>
        </w:rPr>
        <w:t>SMI</w:t>
      </w:r>
      <w:r w:rsidR="006E20E0" w:rsidRPr="004B0848">
        <w:rPr>
          <w:color w:val="00B050"/>
          <w:sz w:val="24"/>
          <w:szCs w:val="24"/>
        </w:rPr>
        <w:t xml:space="preserve"> </w:t>
      </w:r>
      <w:r w:rsidR="006E20E0" w:rsidRPr="004B0848">
        <w:rPr>
          <w:sz w:val="24"/>
          <w:szCs w:val="24"/>
        </w:rPr>
        <w:t xml:space="preserve">+ </w:t>
      </w:r>
      <w:r w:rsidR="006E20E0" w:rsidRPr="003670BA">
        <w:rPr>
          <w:b/>
          <w:color w:val="E36C0A" w:themeColor="accent6" w:themeShade="BF"/>
          <w:sz w:val="24"/>
          <w:szCs w:val="24"/>
        </w:rPr>
        <w:t>ADE</w:t>
      </w:r>
      <w:r w:rsidR="006E20E0" w:rsidRPr="004B0848">
        <w:rPr>
          <w:sz w:val="24"/>
          <w:szCs w:val="24"/>
        </w:rPr>
        <w:t xml:space="preserve"> + </w:t>
      </w:r>
      <w:r w:rsidR="006E20E0" w:rsidRPr="004B0848">
        <w:rPr>
          <w:b/>
          <w:color w:val="FF0000"/>
          <w:sz w:val="24"/>
          <w:szCs w:val="24"/>
        </w:rPr>
        <w:t>Abbreviated Level II</w:t>
      </w:r>
      <w:r w:rsidR="00082302">
        <w:rPr>
          <w:b/>
          <w:color w:val="FF0000"/>
          <w:sz w:val="24"/>
          <w:szCs w:val="24"/>
        </w:rPr>
        <w:t xml:space="preserve"> (DMH/UMASS)</w:t>
      </w:r>
      <w:r w:rsidR="006E20E0" w:rsidRPr="004B0848">
        <w:rPr>
          <w:color w:val="FF0000"/>
          <w:sz w:val="24"/>
          <w:szCs w:val="24"/>
        </w:rPr>
        <w:t xml:space="preserve"> </w:t>
      </w:r>
      <w:r w:rsidR="006E20E0" w:rsidRPr="004B0848">
        <w:rPr>
          <w:sz w:val="24"/>
          <w:szCs w:val="24"/>
        </w:rPr>
        <w:t>=&gt; Issue LOC a</w:t>
      </w:r>
      <w:r w:rsidRPr="004B0848">
        <w:rPr>
          <w:sz w:val="24"/>
          <w:szCs w:val="24"/>
        </w:rPr>
        <w:t>ccording to current guidelines/</w:t>
      </w:r>
      <w:r w:rsidR="006E20E0" w:rsidRPr="004B0848">
        <w:rPr>
          <w:sz w:val="24"/>
          <w:szCs w:val="24"/>
        </w:rPr>
        <w:t>business practices</w:t>
      </w:r>
    </w:p>
    <w:p w:rsidR="004B0848" w:rsidRPr="004B0848" w:rsidRDefault="004B0848">
      <w:pPr>
        <w:rPr>
          <w:b/>
          <w:sz w:val="28"/>
          <w:szCs w:val="24"/>
          <w:u w:val="single"/>
        </w:rPr>
      </w:pPr>
      <w:r w:rsidRPr="004B0848">
        <w:rPr>
          <w:b/>
          <w:sz w:val="28"/>
          <w:szCs w:val="24"/>
          <w:u w:val="single"/>
        </w:rPr>
        <w:t>Categorical Determinations (CD):</w:t>
      </w:r>
    </w:p>
    <w:p w:rsidR="006E20E0" w:rsidRPr="004B0848" w:rsidRDefault="002C65FC">
      <w:pPr>
        <w:rPr>
          <w:sz w:val="24"/>
          <w:szCs w:val="24"/>
        </w:rPr>
      </w:pPr>
      <w:r w:rsidRPr="004B0848">
        <w:rPr>
          <w:b/>
          <w:color w:val="00B050"/>
          <w:sz w:val="24"/>
          <w:szCs w:val="24"/>
        </w:rPr>
        <w:t>+</w:t>
      </w:r>
      <w:r w:rsidR="006E20E0" w:rsidRPr="004B0848">
        <w:rPr>
          <w:b/>
          <w:color w:val="00B050"/>
          <w:sz w:val="24"/>
          <w:szCs w:val="24"/>
        </w:rPr>
        <w:t>SMI</w:t>
      </w:r>
      <w:r w:rsidR="006E20E0" w:rsidRPr="004B0848">
        <w:rPr>
          <w:color w:val="00B050"/>
          <w:sz w:val="24"/>
          <w:szCs w:val="24"/>
        </w:rPr>
        <w:t xml:space="preserve"> </w:t>
      </w:r>
      <w:r w:rsidR="006E20E0" w:rsidRPr="004B0848">
        <w:rPr>
          <w:sz w:val="24"/>
          <w:szCs w:val="24"/>
        </w:rPr>
        <w:t xml:space="preserve">+ </w:t>
      </w:r>
      <w:r w:rsidR="006E20E0" w:rsidRPr="004B0848">
        <w:rPr>
          <w:b/>
          <w:color w:val="7030A0"/>
          <w:sz w:val="24"/>
          <w:szCs w:val="24"/>
        </w:rPr>
        <w:t>CD</w:t>
      </w:r>
      <w:r w:rsidR="004B211D">
        <w:rPr>
          <w:b/>
          <w:color w:val="7030A0"/>
          <w:sz w:val="24"/>
          <w:szCs w:val="24"/>
        </w:rPr>
        <w:t xml:space="preserve"> </w:t>
      </w:r>
      <w:r w:rsidR="0011409E">
        <w:rPr>
          <w:b/>
          <w:color w:val="7030A0"/>
          <w:sz w:val="24"/>
          <w:szCs w:val="24"/>
        </w:rPr>
        <w:t>(time limited)</w:t>
      </w:r>
      <w:r w:rsidR="0011409E">
        <w:rPr>
          <w:sz w:val="24"/>
          <w:szCs w:val="24"/>
        </w:rPr>
        <w:t xml:space="preserve"> </w:t>
      </w:r>
      <w:r w:rsidR="004B211D" w:rsidRPr="004B0848">
        <w:rPr>
          <w:sz w:val="24"/>
          <w:szCs w:val="24"/>
        </w:rPr>
        <w:t xml:space="preserve">+ </w:t>
      </w:r>
      <w:r w:rsidR="004B211D" w:rsidRPr="004B0848">
        <w:rPr>
          <w:b/>
          <w:color w:val="FF0000"/>
          <w:sz w:val="24"/>
          <w:szCs w:val="24"/>
        </w:rPr>
        <w:t>Abbreviated Level II</w:t>
      </w:r>
      <w:r w:rsidR="004B211D">
        <w:rPr>
          <w:b/>
          <w:color w:val="FF0000"/>
          <w:sz w:val="24"/>
          <w:szCs w:val="24"/>
        </w:rPr>
        <w:t xml:space="preserve"> (DMH/UMASS)</w:t>
      </w:r>
      <w:r w:rsidR="006E20E0" w:rsidRPr="004B0848">
        <w:rPr>
          <w:color w:val="7030A0"/>
          <w:sz w:val="24"/>
          <w:szCs w:val="24"/>
        </w:rPr>
        <w:t xml:space="preserve"> </w:t>
      </w:r>
      <w:r w:rsidR="006E20E0" w:rsidRPr="004B0848">
        <w:rPr>
          <w:sz w:val="24"/>
          <w:szCs w:val="24"/>
        </w:rPr>
        <w:t>=&gt; LOC end date must not exceed time limit of CD</w:t>
      </w:r>
      <w:r w:rsidR="008C7D51">
        <w:rPr>
          <w:sz w:val="24"/>
          <w:szCs w:val="24"/>
        </w:rPr>
        <w:t>*</w:t>
      </w:r>
    </w:p>
    <w:p w:rsidR="006E20E0" w:rsidRDefault="006E20E0" w:rsidP="006E20E0">
      <w:pPr>
        <w:rPr>
          <w:sz w:val="24"/>
          <w:szCs w:val="24"/>
        </w:rPr>
      </w:pPr>
      <w:r w:rsidRPr="004B0848">
        <w:rPr>
          <w:b/>
          <w:color w:val="00B050"/>
          <w:sz w:val="24"/>
          <w:szCs w:val="24"/>
        </w:rPr>
        <w:t>+SMI</w:t>
      </w:r>
      <w:r w:rsidRPr="004B0848">
        <w:rPr>
          <w:color w:val="00B050"/>
          <w:sz w:val="24"/>
          <w:szCs w:val="24"/>
        </w:rPr>
        <w:t xml:space="preserve"> </w:t>
      </w:r>
      <w:r w:rsidRPr="004B0848">
        <w:rPr>
          <w:sz w:val="24"/>
          <w:szCs w:val="24"/>
        </w:rPr>
        <w:t xml:space="preserve">+ </w:t>
      </w:r>
      <w:r w:rsidRPr="004B0848">
        <w:rPr>
          <w:b/>
          <w:color w:val="7030A0"/>
          <w:sz w:val="24"/>
          <w:szCs w:val="24"/>
        </w:rPr>
        <w:t>CD (not time limited)</w:t>
      </w:r>
      <w:r w:rsidR="004B211D">
        <w:rPr>
          <w:b/>
          <w:color w:val="7030A0"/>
          <w:sz w:val="24"/>
          <w:szCs w:val="24"/>
        </w:rPr>
        <w:t xml:space="preserve"> </w:t>
      </w:r>
      <w:r w:rsidR="004B211D" w:rsidRPr="004B0848">
        <w:rPr>
          <w:sz w:val="24"/>
          <w:szCs w:val="24"/>
        </w:rPr>
        <w:t xml:space="preserve">+ </w:t>
      </w:r>
      <w:r w:rsidR="004B211D" w:rsidRPr="004B0848">
        <w:rPr>
          <w:b/>
          <w:color w:val="FF0000"/>
          <w:sz w:val="24"/>
          <w:szCs w:val="24"/>
        </w:rPr>
        <w:t>Abbreviated Level II</w:t>
      </w:r>
      <w:r w:rsidR="004B211D">
        <w:rPr>
          <w:b/>
          <w:color w:val="FF0000"/>
          <w:sz w:val="24"/>
          <w:szCs w:val="24"/>
        </w:rPr>
        <w:t xml:space="preserve"> (DMH/UMASS) </w:t>
      </w:r>
      <w:r w:rsidRPr="004B0848">
        <w:rPr>
          <w:sz w:val="24"/>
          <w:szCs w:val="24"/>
        </w:rPr>
        <w:t>=&gt; Issue LOC according to current guidelines/ business practices</w:t>
      </w:r>
    </w:p>
    <w:p w:rsidR="004B0848" w:rsidRPr="00082302" w:rsidRDefault="00082302" w:rsidP="006E20E0">
      <w:pPr>
        <w:rPr>
          <w:b/>
          <w:sz w:val="24"/>
          <w:szCs w:val="24"/>
          <w:u w:val="single"/>
        </w:rPr>
      </w:pPr>
      <w:r w:rsidRPr="00082302">
        <w:rPr>
          <w:b/>
          <w:sz w:val="28"/>
          <w:szCs w:val="24"/>
          <w:u w:val="single"/>
        </w:rPr>
        <w:t>Positive Screening Types:</w:t>
      </w:r>
    </w:p>
    <w:p w:rsidR="006E20E0" w:rsidRPr="00082302" w:rsidRDefault="002C65FC" w:rsidP="006E20E0">
      <w:pPr>
        <w:rPr>
          <w:sz w:val="24"/>
          <w:szCs w:val="24"/>
        </w:rPr>
      </w:pPr>
      <w:r w:rsidRPr="00082302">
        <w:rPr>
          <w:b/>
          <w:color w:val="0070C0"/>
          <w:sz w:val="24"/>
          <w:szCs w:val="24"/>
        </w:rPr>
        <w:t>+</w:t>
      </w:r>
      <w:r w:rsidR="006E20E0" w:rsidRPr="00082302">
        <w:rPr>
          <w:b/>
          <w:color w:val="0070C0"/>
          <w:sz w:val="24"/>
          <w:szCs w:val="24"/>
        </w:rPr>
        <w:t>ID/DD</w:t>
      </w:r>
      <w:r w:rsidR="006E20E0" w:rsidRPr="00082302">
        <w:rPr>
          <w:color w:val="0070C0"/>
          <w:sz w:val="24"/>
          <w:szCs w:val="24"/>
        </w:rPr>
        <w:t xml:space="preserve"> </w:t>
      </w:r>
      <w:r w:rsidR="004B0848" w:rsidRPr="00082302">
        <w:rPr>
          <w:sz w:val="24"/>
          <w:szCs w:val="24"/>
        </w:rPr>
        <w:t>and</w:t>
      </w:r>
      <w:r w:rsidR="006E20E0" w:rsidRPr="00082302">
        <w:rPr>
          <w:sz w:val="24"/>
          <w:szCs w:val="24"/>
        </w:rPr>
        <w:t xml:space="preserve"> </w:t>
      </w:r>
      <w:r w:rsidRPr="00082302">
        <w:rPr>
          <w:b/>
          <w:color w:val="00B050"/>
          <w:sz w:val="24"/>
          <w:szCs w:val="24"/>
        </w:rPr>
        <w:t>+</w:t>
      </w:r>
      <w:r w:rsidR="006E20E0" w:rsidRPr="00082302">
        <w:rPr>
          <w:b/>
          <w:color w:val="00B050"/>
          <w:sz w:val="24"/>
          <w:szCs w:val="24"/>
        </w:rPr>
        <w:t>SMI</w:t>
      </w:r>
      <w:r w:rsidR="006E20E0" w:rsidRPr="00082302">
        <w:rPr>
          <w:color w:val="00B050"/>
          <w:sz w:val="24"/>
          <w:szCs w:val="24"/>
        </w:rPr>
        <w:t xml:space="preserve"> </w:t>
      </w:r>
      <w:r w:rsidR="006E20E0" w:rsidRPr="00082302">
        <w:rPr>
          <w:sz w:val="24"/>
          <w:szCs w:val="24"/>
        </w:rPr>
        <w:t xml:space="preserve">+ </w:t>
      </w:r>
      <w:r w:rsidR="006E20E0" w:rsidRPr="00082302">
        <w:rPr>
          <w:b/>
          <w:color w:val="943634" w:themeColor="accent2" w:themeShade="BF"/>
          <w:sz w:val="24"/>
          <w:szCs w:val="24"/>
        </w:rPr>
        <w:t>no EHD/ADE/CD</w:t>
      </w:r>
      <w:r w:rsidR="006E20E0" w:rsidRPr="00082302">
        <w:rPr>
          <w:sz w:val="24"/>
          <w:szCs w:val="24"/>
        </w:rPr>
        <w:t xml:space="preserve"> + </w:t>
      </w:r>
      <w:r w:rsidR="006E20E0" w:rsidRPr="00082302">
        <w:rPr>
          <w:b/>
          <w:color w:val="FF0000"/>
          <w:sz w:val="24"/>
          <w:szCs w:val="24"/>
        </w:rPr>
        <w:t>Level II</w:t>
      </w:r>
      <w:r w:rsidR="00082302">
        <w:rPr>
          <w:b/>
          <w:color w:val="FF0000"/>
          <w:sz w:val="24"/>
          <w:szCs w:val="24"/>
        </w:rPr>
        <w:t xml:space="preserve"> (DDS &amp; DMH/UMASS)</w:t>
      </w:r>
      <w:r w:rsidR="006E20E0" w:rsidRPr="00082302">
        <w:rPr>
          <w:color w:val="FF0000"/>
          <w:sz w:val="24"/>
          <w:szCs w:val="24"/>
        </w:rPr>
        <w:t xml:space="preserve"> </w:t>
      </w:r>
      <w:r w:rsidR="006E20E0" w:rsidRPr="00082302">
        <w:rPr>
          <w:sz w:val="24"/>
          <w:szCs w:val="24"/>
        </w:rPr>
        <w:t>=&gt; Issue LOC according to current guidelines/ business practices</w:t>
      </w:r>
    </w:p>
    <w:p w:rsidR="004B0848" w:rsidRPr="00082302" w:rsidRDefault="004B0848" w:rsidP="006E20E0">
      <w:pPr>
        <w:rPr>
          <w:sz w:val="24"/>
          <w:szCs w:val="24"/>
        </w:rPr>
      </w:pPr>
      <w:r w:rsidRPr="00082302">
        <w:rPr>
          <w:b/>
          <w:color w:val="0070C0"/>
          <w:sz w:val="24"/>
          <w:szCs w:val="24"/>
        </w:rPr>
        <w:t>+ID/DD</w:t>
      </w:r>
      <w:r w:rsidRPr="00082302">
        <w:rPr>
          <w:color w:val="0070C0"/>
          <w:sz w:val="24"/>
          <w:szCs w:val="24"/>
        </w:rPr>
        <w:t xml:space="preserve"> </w:t>
      </w:r>
      <w:r w:rsidRPr="00082302">
        <w:rPr>
          <w:sz w:val="24"/>
          <w:szCs w:val="24"/>
        </w:rPr>
        <w:t xml:space="preserve">+ </w:t>
      </w:r>
      <w:r w:rsidRPr="00082302">
        <w:rPr>
          <w:b/>
          <w:color w:val="943634" w:themeColor="accent2" w:themeShade="BF"/>
          <w:sz w:val="24"/>
          <w:szCs w:val="24"/>
        </w:rPr>
        <w:t>no EHD</w:t>
      </w:r>
      <w:r w:rsidRPr="00082302">
        <w:rPr>
          <w:sz w:val="24"/>
          <w:szCs w:val="24"/>
        </w:rPr>
        <w:t xml:space="preserve"> + </w:t>
      </w:r>
      <w:r w:rsidRPr="00082302">
        <w:rPr>
          <w:b/>
          <w:color w:val="FF0000"/>
          <w:sz w:val="24"/>
          <w:szCs w:val="24"/>
        </w:rPr>
        <w:t>Level II</w:t>
      </w:r>
      <w:r w:rsidR="00082302">
        <w:rPr>
          <w:b/>
          <w:color w:val="FF0000"/>
          <w:sz w:val="24"/>
          <w:szCs w:val="24"/>
        </w:rPr>
        <w:t xml:space="preserve"> (DDS)</w:t>
      </w:r>
      <w:r w:rsidRPr="00082302">
        <w:rPr>
          <w:color w:val="FF0000"/>
          <w:sz w:val="24"/>
          <w:szCs w:val="24"/>
        </w:rPr>
        <w:t xml:space="preserve"> </w:t>
      </w:r>
      <w:r w:rsidRPr="00082302">
        <w:rPr>
          <w:sz w:val="24"/>
          <w:szCs w:val="24"/>
        </w:rPr>
        <w:t>=&gt; Issue LOC according to current guidelines/ business practices</w:t>
      </w:r>
    </w:p>
    <w:p w:rsidR="004B0848" w:rsidRDefault="004B0848" w:rsidP="006E20E0">
      <w:pPr>
        <w:rPr>
          <w:sz w:val="24"/>
          <w:szCs w:val="24"/>
        </w:rPr>
      </w:pPr>
      <w:r w:rsidRPr="00082302">
        <w:rPr>
          <w:b/>
          <w:color w:val="00B050"/>
          <w:sz w:val="24"/>
          <w:szCs w:val="24"/>
        </w:rPr>
        <w:t>+SMI</w:t>
      </w:r>
      <w:r w:rsidRPr="00082302">
        <w:rPr>
          <w:color w:val="00B050"/>
          <w:sz w:val="24"/>
          <w:szCs w:val="24"/>
        </w:rPr>
        <w:t xml:space="preserve"> </w:t>
      </w:r>
      <w:r w:rsidRPr="00082302">
        <w:rPr>
          <w:sz w:val="24"/>
          <w:szCs w:val="24"/>
        </w:rPr>
        <w:t xml:space="preserve">+ </w:t>
      </w:r>
      <w:r w:rsidRPr="00082302">
        <w:rPr>
          <w:b/>
          <w:color w:val="943634" w:themeColor="accent2" w:themeShade="BF"/>
          <w:sz w:val="24"/>
          <w:szCs w:val="24"/>
        </w:rPr>
        <w:t>no EHD/ADE/CD</w:t>
      </w:r>
      <w:r w:rsidRPr="00082302">
        <w:rPr>
          <w:sz w:val="24"/>
          <w:szCs w:val="24"/>
        </w:rPr>
        <w:t xml:space="preserve"> + </w:t>
      </w:r>
      <w:r w:rsidRPr="00082302">
        <w:rPr>
          <w:b/>
          <w:color w:val="FF0000"/>
          <w:sz w:val="24"/>
          <w:szCs w:val="24"/>
        </w:rPr>
        <w:t>Level II</w:t>
      </w:r>
      <w:r w:rsidR="00082302">
        <w:rPr>
          <w:b/>
          <w:color w:val="FF0000"/>
          <w:sz w:val="24"/>
          <w:szCs w:val="24"/>
        </w:rPr>
        <w:t xml:space="preserve"> (DMH/UMASS)</w:t>
      </w:r>
      <w:r w:rsidRPr="00082302">
        <w:rPr>
          <w:color w:val="FF0000"/>
          <w:sz w:val="24"/>
          <w:szCs w:val="24"/>
        </w:rPr>
        <w:t xml:space="preserve"> </w:t>
      </w:r>
      <w:r w:rsidRPr="00082302">
        <w:rPr>
          <w:sz w:val="24"/>
          <w:szCs w:val="24"/>
        </w:rPr>
        <w:t>=&gt; Issue LOC according to current guidelines/ business practices</w:t>
      </w:r>
    </w:p>
    <w:p w:rsidR="00082302" w:rsidRPr="00082302" w:rsidRDefault="00082302" w:rsidP="006E20E0">
      <w:pPr>
        <w:rPr>
          <w:b/>
          <w:sz w:val="28"/>
          <w:szCs w:val="24"/>
          <w:u w:val="single"/>
        </w:rPr>
      </w:pPr>
      <w:r w:rsidRPr="00082302">
        <w:rPr>
          <w:b/>
          <w:sz w:val="28"/>
          <w:szCs w:val="24"/>
          <w:u w:val="single"/>
        </w:rPr>
        <w:t>Negative Screening Types:</w:t>
      </w:r>
    </w:p>
    <w:p w:rsidR="008C7D51" w:rsidRPr="00082302" w:rsidRDefault="00082302" w:rsidP="006E20E0">
      <w:pPr>
        <w:rPr>
          <w:sz w:val="24"/>
          <w:szCs w:val="24"/>
        </w:rPr>
      </w:pPr>
      <w:r w:rsidRPr="00082302">
        <w:rPr>
          <w:b/>
          <w:color w:val="00B0F0"/>
          <w:sz w:val="24"/>
          <w:szCs w:val="24"/>
        </w:rPr>
        <w:t>–</w:t>
      </w:r>
      <w:r w:rsidR="006E20E0" w:rsidRPr="00082302">
        <w:rPr>
          <w:b/>
          <w:color w:val="00B0F0"/>
          <w:sz w:val="24"/>
          <w:szCs w:val="24"/>
        </w:rPr>
        <w:t>ID/DD</w:t>
      </w:r>
      <w:r w:rsidR="006E20E0" w:rsidRPr="00082302">
        <w:rPr>
          <w:color w:val="00B0F0"/>
          <w:sz w:val="24"/>
          <w:szCs w:val="24"/>
        </w:rPr>
        <w:t xml:space="preserve"> </w:t>
      </w:r>
      <w:r w:rsidR="006E20E0" w:rsidRPr="00082302">
        <w:rPr>
          <w:sz w:val="24"/>
          <w:szCs w:val="24"/>
        </w:rPr>
        <w:t xml:space="preserve">and </w:t>
      </w:r>
      <w:r w:rsidR="006E20E0" w:rsidRPr="00082302">
        <w:rPr>
          <w:b/>
          <w:color w:val="00B050"/>
          <w:sz w:val="24"/>
          <w:szCs w:val="24"/>
        </w:rPr>
        <w:t xml:space="preserve">–SMI </w:t>
      </w:r>
      <w:r w:rsidR="006E20E0" w:rsidRPr="00082302">
        <w:rPr>
          <w:sz w:val="24"/>
          <w:szCs w:val="24"/>
        </w:rPr>
        <w:t xml:space="preserve">+ </w:t>
      </w:r>
      <w:r w:rsidR="004B0848" w:rsidRPr="00082302">
        <w:rPr>
          <w:b/>
          <w:color w:val="C00000"/>
          <w:sz w:val="24"/>
          <w:szCs w:val="24"/>
        </w:rPr>
        <w:t>Completed Level I</w:t>
      </w:r>
      <w:r w:rsidR="004B0848" w:rsidRPr="00082302">
        <w:rPr>
          <w:color w:val="C00000"/>
          <w:sz w:val="24"/>
          <w:szCs w:val="24"/>
        </w:rPr>
        <w:t xml:space="preserve"> </w:t>
      </w:r>
      <w:r w:rsidR="006E20E0" w:rsidRPr="00082302">
        <w:rPr>
          <w:sz w:val="24"/>
          <w:szCs w:val="24"/>
        </w:rPr>
        <w:t>(Page 1, Section A, B</w:t>
      </w:r>
      <w:r>
        <w:rPr>
          <w:sz w:val="24"/>
          <w:szCs w:val="24"/>
        </w:rPr>
        <w:t>,</w:t>
      </w:r>
      <w:r w:rsidR="006E20E0" w:rsidRPr="00082302">
        <w:rPr>
          <w:sz w:val="24"/>
          <w:szCs w:val="24"/>
        </w:rPr>
        <w:t xml:space="preserve"> &amp; F) =&gt; Issue LOC according to current guidelines/ business practices</w:t>
      </w:r>
      <w:bookmarkStart w:id="0" w:name="_GoBack"/>
      <w:bookmarkEnd w:id="0"/>
    </w:p>
    <w:p w:rsidR="008C7D51" w:rsidRPr="008C7D51" w:rsidRDefault="008C7D51">
      <w:pPr>
        <w:rPr>
          <w:sz w:val="24"/>
        </w:rPr>
      </w:pPr>
      <w:r>
        <w:rPr>
          <w:sz w:val="24"/>
        </w:rPr>
        <w:t>*</w:t>
      </w:r>
      <w:r w:rsidRPr="008C7D51">
        <w:rPr>
          <w:sz w:val="24"/>
        </w:rPr>
        <w:t>At the end of the time frame allotted for EHD</w:t>
      </w:r>
      <w:r w:rsidR="0011409E">
        <w:rPr>
          <w:sz w:val="24"/>
        </w:rPr>
        <w:t xml:space="preserve"> (30 days)</w:t>
      </w:r>
      <w:r w:rsidRPr="008C7D51">
        <w:rPr>
          <w:sz w:val="24"/>
        </w:rPr>
        <w:t xml:space="preserve"> or a time limited CD</w:t>
      </w:r>
      <w:r w:rsidR="0011409E">
        <w:rPr>
          <w:sz w:val="24"/>
        </w:rPr>
        <w:t xml:space="preserve"> (Convalescent Care = 30 days, Provisional Emergency = 7 days, Respite = 10 days)</w:t>
      </w:r>
      <w:r w:rsidRPr="008C7D51">
        <w:rPr>
          <w:sz w:val="24"/>
        </w:rPr>
        <w:t xml:space="preserve">, the NF </w:t>
      </w:r>
      <w:r w:rsidRPr="007F21F1">
        <w:rPr>
          <w:b/>
          <w:sz w:val="24"/>
        </w:rPr>
        <w:t>MUST</w:t>
      </w:r>
      <w:r w:rsidRPr="008C7D51">
        <w:rPr>
          <w:sz w:val="24"/>
        </w:rPr>
        <w:t xml:space="preserve"> refer the consumer to the </w:t>
      </w:r>
      <w:r>
        <w:rPr>
          <w:sz w:val="24"/>
        </w:rPr>
        <w:t xml:space="preserve">appropriate </w:t>
      </w:r>
      <w:r w:rsidRPr="008C7D51">
        <w:rPr>
          <w:sz w:val="24"/>
        </w:rPr>
        <w:t xml:space="preserve">Level II PASRR Authority for a Level II screening, the ASAP can issue a LOC according the current guidelines/business practices </w:t>
      </w:r>
      <w:r w:rsidRPr="007F21F1">
        <w:rPr>
          <w:b/>
          <w:i/>
          <w:sz w:val="24"/>
        </w:rPr>
        <w:t>after</w:t>
      </w:r>
      <w:r w:rsidRPr="008C7D51">
        <w:rPr>
          <w:sz w:val="24"/>
        </w:rPr>
        <w:t xml:space="preserve"> Level II Determination is complete.</w:t>
      </w:r>
      <w:r>
        <w:rPr>
          <w:sz w:val="24"/>
        </w:rPr>
        <w:t>*</w:t>
      </w:r>
    </w:p>
    <w:sectPr w:rsidR="008C7D51" w:rsidRPr="008C7D51" w:rsidSect="008C7D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632" w:rsidRDefault="00E41632" w:rsidP="00E41632">
      <w:pPr>
        <w:spacing w:after="0" w:line="240" w:lineRule="auto"/>
      </w:pPr>
      <w:r>
        <w:separator/>
      </w:r>
    </w:p>
  </w:endnote>
  <w:endnote w:type="continuationSeparator" w:id="0">
    <w:p w:rsidR="00E41632" w:rsidRDefault="00E41632" w:rsidP="00E41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632" w:rsidRDefault="00E416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632" w:rsidRDefault="00E4163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632" w:rsidRDefault="00E416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632" w:rsidRDefault="00E41632" w:rsidP="00E41632">
      <w:pPr>
        <w:spacing w:after="0" w:line="240" w:lineRule="auto"/>
      </w:pPr>
      <w:r>
        <w:separator/>
      </w:r>
    </w:p>
  </w:footnote>
  <w:footnote w:type="continuationSeparator" w:id="0">
    <w:p w:rsidR="00E41632" w:rsidRDefault="00E41632" w:rsidP="00E41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632" w:rsidRDefault="00E416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6398117"/>
      <w:docPartObj>
        <w:docPartGallery w:val="Watermarks"/>
        <w:docPartUnique/>
      </w:docPartObj>
    </w:sdtPr>
    <w:sdtContent>
      <w:p w:rsidR="00E41632" w:rsidRDefault="00E41632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632" w:rsidRDefault="00E416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0E0"/>
    <w:rsid w:val="00082302"/>
    <w:rsid w:val="0011409E"/>
    <w:rsid w:val="002C65FC"/>
    <w:rsid w:val="003670BA"/>
    <w:rsid w:val="004B0848"/>
    <w:rsid w:val="004B211D"/>
    <w:rsid w:val="006E20E0"/>
    <w:rsid w:val="007F21F1"/>
    <w:rsid w:val="008C7D51"/>
    <w:rsid w:val="00C3652B"/>
    <w:rsid w:val="00DF276C"/>
    <w:rsid w:val="00E4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2C65F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8C7D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632"/>
  </w:style>
  <w:style w:type="paragraph" w:styleId="Footer">
    <w:name w:val="footer"/>
    <w:basedOn w:val="Normal"/>
    <w:link w:val="FooterChar"/>
    <w:uiPriority w:val="99"/>
    <w:unhideWhenUsed/>
    <w:rsid w:val="00E41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6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2C65F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8C7D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632"/>
  </w:style>
  <w:style w:type="paragraph" w:styleId="Footer">
    <w:name w:val="footer"/>
    <w:basedOn w:val="Normal"/>
    <w:link w:val="FooterChar"/>
    <w:uiPriority w:val="99"/>
    <w:unhideWhenUsed/>
    <w:rsid w:val="00E41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Desiree's Computer</dc:creator>
  <cp:lastModifiedBy>Kelley, Desiree (ELD)</cp:lastModifiedBy>
  <cp:revision>6</cp:revision>
  <dcterms:created xsi:type="dcterms:W3CDTF">2018-09-29T01:46:00Z</dcterms:created>
  <dcterms:modified xsi:type="dcterms:W3CDTF">2018-10-16T20:22:00Z</dcterms:modified>
</cp:coreProperties>
</file>